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2088C" w14:textId="263C43A4" w:rsidR="00BB4D34" w:rsidRDefault="00BB4D34" w:rsidP="00BB4D34">
      <w:pPr>
        <w:jc w:val="center"/>
        <w:rPr>
          <w:b/>
          <w:sz w:val="24"/>
          <w:szCs w:val="28"/>
        </w:rPr>
      </w:pPr>
      <w:r w:rsidRPr="005620DD">
        <w:rPr>
          <w:b/>
          <w:sz w:val="24"/>
          <w:szCs w:val="28"/>
        </w:rPr>
        <w:t xml:space="preserve">Załącznik nr </w:t>
      </w:r>
      <w:r>
        <w:rPr>
          <w:b/>
          <w:sz w:val="24"/>
          <w:szCs w:val="28"/>
        </w:rPr>
        <w:t>4</w:t>
      </w:r>
      <w:r w:rsidRPr="005620DD">
        <w:rPr>
          <w:b/>
          <w:sz w:val="24"/>
          <w:szCs w:val="28"/>
        </w:rPr>
        <w:t xml:space="preserve"> do Polityki Ochrony Danych</w:t>
      </w:r>
    </w:p>
    <w:p w14:paraId="7731D49C" w14:textId="6526E6B6" w:rsidR="00A073BE" w:rsidRPr="005620DD" w:rsidRDefault="00A073BE" w:rsidP="00BB4D34">
      <w:pPr>
        <w:jc w:val="center"/>
        <w:rPr>
          <w:b/>
          <w:sz w:val="24"/>
          <w:szCs w:val="28"/>
        </w:rPr>
      </w:pPr>
      <w:r w:rsidRPr="00A073BE">
        <w:rPr>
          <w:b/>
          <w:sz w:val="24"/>
          <w:szCs w:val="28"/>
        </w:rPr>
        <w:t>Procedura realizowania prawa do zapomnienia</w:t>
      </w:r>
      <w:bookmarkStart w:id="0" w:name="_GoBack"/>
      <w:bookmarkEnd w:id="0"/>
    </w:p>
    <w:p w14:paraId="10A0033F" w14:textId="77777777" w:rsidR="00C65F8A" w:rsidRDefault="00103B33" w:rsidP="00103B33">
      <w:pPr>
        <w:rPr>
          <w:szCs w:val="22"/>
        </w:rPr>
      </w:pPr>
      <w:r>
        <w:rPr>
          <w:szCs w:val="22"/>
        </w:rPr>
        <w:t>Prawo do zapomnienia to inaczej prawo do usunięcia danych osobowych. Jest jednym z podstawowych praw, które może zgłosić każda osoba, która przekazała naszemu przedsiębiorstwu swoje dane osobowe. Dotyczy przypadków, w których najpierw osoba taka wyraziła zgodę a po jakimś czasie ją cofnęła lub wyraziła sprzeciw wobec posługiwania się jej danymi osobowymi.</w:t>
      </w:r>
      <w:r w:rsidR="00193DF3">
        <w:rPr>
          <w:szCs w:val="22"/>
        </w:rPr>
        <w:t xml:space="preserve"> </w:t>
      </w:r>
    </w:p>
    <w:p w14:paraId="2A494078" w14:textId="573B0519" w:rsidR="00C65F8A" w:rsidRDefault="00193DF3" w:rsidP="00103B33">
      <w:pPr>
        <w:rPr>
          <w:szCs w:val="22"/>
        </w:rPr>
      </w:pPr>
      <w:r>
        <w:rPr>
          <w:szCs w:val="22"/>
        </w:rPr>
        <w:t>Realizując to prawo trzeba być bardzo ostrożnym, żeby czegoś nie usunąć zbyt szybko, dlatego w każdym przypadku przeczytaj art. 17 RODO, który podpowie Ci</w:t>
      </w:r>
      <w:r w:rsidR="00C65F8A">
        <w:rPr>
          <w:szCs w:val="22"/>
        </w:rPr>
        <w:t>,</w:t>
      </w:r>
      <w:r>
        <w:rPr>
          <w:szCs w:val="22"/>
        </w:rPr>
        <w:t xml:space="preserve"> kiedy dane usunąć a kiedy nie. </w:t>
      </w:r>
    </w:p>
    <w:p w14:paraId="5A645263" w14:textId="270C9F55" w:rsidR="00103B33" w:rsidRDefault="00C65F8A" w:rsidP="00103B33">
      <w:pPr>
        <w:rPr>
          <w:szCs w:val="22"/>
        </w:rPr>
      </w:pPr>
      <w:r>
        <w:rPr>
          <w:szCs w:val="22"/>
        </w:rPr>
        <w:t>Osoba, która zgłasza takie żądanie nie chce mieć z nami kontaktu – żadnego, mailowego też. Dlatego w praktyce najczęściej będziemy usuwać jej dane osobowe z tzw. podręcznych baz danych np. subskrybenci, klienci, kontrahenci, oferty, promocje, marketing itp.</w:t>
      </w:r>
    </w:p>
    <w:p w14:paraId="46FDB585" w14:textId="77777777" w:rsidR="00103B33" w:rsidRPr="00C833AA" w:rsidRDefault="00103B33" w:rsidP="00103B33">
      <w:pPr>
        <w:rPr>
          <w:b/>
          <w:szCs w:val="22"/>
        </w:rPr>
      </w:pPr>
      <w:r w:rsidRPr="00C833AA">
        <w:rPr>
          <w:b/>
          <w:szCs w:val="22"/>
        </w:rPr>
        <w:t>Mając to na uwadze nasze przedsiębiorstwo wprowadza następujące zasady:</w:t>
      </w:r>
    </w:p>
    <w:p w14:paraId="51F121E0" w14:textId="04FEC492" w:rsidR="00AD5B5A" w:rsidRDefault="00103B33" w:rsidP="00103B33">
      <w:pPr>
        <w:pStyle w:val="Akapitzlist"/>
        <w:numPr>
          <w:ilvl w:val="0"/>
          <w:numId w:val="3"/>
        </w:numPr>
      </w:pPr>
      <w:r>
        <w:t>Jeśli otrzymasz żądanie prawa do zapomnienia to nie podejmuj decyzji pochopnie.</w:t>
      </w:r>
    </w:p>
    <w:p w14:paraId="3CC7B6C2" w14:textId="2966F549" w:rsidR="00103B33" w:rsidRDefault="00103B33" w:rsidP="00103B33">
      <w:pPr>
        <w:pStyle w:val="Akapitzlist"/>
        <w:numPr>
          <w:ilvl w:val="0"/>
          <w:numId w:val="3"/>
        </w:numPr>
      </w:pPr>
      <w:r>
        <w:t>Zweryfikuj tożsamość osoby, która zgłasza takie żądanie. Chodzi o wyeliminowanie możliwości „podszycia” się kogoś innego pod naszego klienta. Jak to zrobić? Sprawdź</w:t>
      </w:r>
      <w:r w:rsidR="00DC3C96">
        <w:t>,</w:t>
      </w:r>
      <w:r>
        <w:t xml:space="preserve"> czy żądanie zostało wysłane z adresu e-mail, który jest przypisany do tej osoby w bazie danych, albo poproś o wysłanie tego żądania z adresu e-mail, który ta osoba wykorzystywała do kontaktu z nami.</w:t>
      </w:r>
    </w:p>
    <w:p w14:paraId="56F0CAE8" w14:textId="63038AB2" w:rsidR="00103B33" w:rsidRDefault="00193DF3" w:rsidP="00103B33">
      <w:pPr>
        <w:pStyle w:val="Akapitzlist"/>
        <w:numPr>
          <w:ilvl w:val="0"/>
          <w:numId w:val="3"/>
        </w:numPr>
      </w:pPr>
      <w:r>
        <w:t>Zweryfikuj czy</w:t>
      </w:r>
      <w:r w:rsidR="00B25E19">
        <w:t xml:space="preserve"> osoba żądająca prawa do zapomnienia faktycznie może z niego skorzystać np. czy wyraziła wcześniej zgodę (zob. art. 17 RODO).</w:t>
      </w:r>
    </w:p>
    <w:p w14:paraId="19ECAA9B" w14:textId="60878913" w:rsidR="00B25E19" w:rsidRDefault="00B25E19" w:rsidP="00103B33">
      <w:pPr>
        <w:pStyle w:val="Akapitzlist"/>
        <w:numPr>
          <w:ilvl w:val="0"/>
          <w:numId w:val="3"/>
        </w:numPr>
      </w:pPr>
      <w:r>
        <w:t xml:space="preserve">Jeśli </w:t>
      </w:r>
      <w:r w:rsidR="00DC3C96">
        <w:t>pkt. 1-3 potwierdzają możliwość usunięcia danych, zastanów się, które z tych danych faktycznie możesz usunąć. Czasami bywa tak, że nie będzie można usunąć wszystkich danych klienta np. nie można usunąć danych, które widnieją na fakturze czy w zamówieniu związanym z tą fakturą. To wynika z przepisów szczególnych</w:t>
      </w:r>
      <w:r w:rsidR="00C65F8A">
        <w:t xml:space="preserve"> np.</w:t>
      </w:r>
      <w:r w:rsidR="00DC3C96">
        <w:t xml:space="preserve"> prawa pracy, prawa podatkowego, prawa autorskiego, prawa ubezpieczeniowego, prawa bankowego, ale też gwarancji, rękojmi, przedawnienia żądań, zabezpieczenia na wypadek konieczności wniesienia sprawy do sądu itp.</w:t>
      </w:r>
    </w:p>
    <w:p w14:paraId="519A26C2" w14:textId="5303B5B0" w:rsidR="00DC3C96" w:rsidRDefault="00DC3C96" w:rsidP="00103B33">
      <w:pPr>
        <w:pStyle w:val="Akapitzlist"/>
        <w:numPr>
          <w:ilvl w:val="0"/>
          <w:numId w:val="3"/>
        </w:numPr>
      </w:pPr>
      <w:r>
        <w:t>Usuń tylko te dane, które możesz</w:t>
      </w:r>
      <w:r w:rsidR="00C65F8A">
        <w:t>,</w:t>
      </w:r>
      <w:r>
        <w:t xml:space="preserve"> bo nie ma wyj</w:t>
      </w:r>
      <w:r w:rsidR="00C65F8A">
        <w:t>ą</w:t>
      </w:r>
      <w:r>
        <w:t>tku</w:t>
      </w:r>
      <w:r w:rsidR="00C65F8A">
        <w:t xml:space="preserve">, </w:t>
      </w:r>
      <w:r>
        <w:t>żeby ich nie usuwać.</w:t>
      </w:r>
    </w:p>
    <w:p w14:paraId="7AAB953F" w14:textId="1E09BB04" w:rsidR="00DC3C96" w:rsidRDefault="00DC3C96" w:rsidP="00103B33">
      <w:pPr>
        <w:pStyle w:val="Akapitzlist"/>
        <w:numPr>
          <w:ilvl w:val="0"/>
          <w:numId w:val="3"/>
        </w:numPr>
      </w:pPr>
      <w:r>
        <w:t xml:space="preserve">Usuń dane tylko z tych baz danych, </w:t>
      </w:r>
      <w:r w:rsidR="00C65F8A">
        <w:t xml:space="preserve">z których można je usunąć. W razie wątpliwości porozmawiaj z działem IT lub </w:t>
      </w:r>
      <w:r w:rsidR="007022A0">
        <w:t>zarządem.</w:t>
      </w:r>
    </w:p>
    <w:p w14:paraId="76584405" w14:textId="6F313995" w:rsidR="007022A0" w:rsidRPr="007022A0" w:rsidRDefault="007022A0" w:rsidP="00103B33">
      <w:pPr>
        <w:pStyle w:val="Akapitzlist"/>
        <w:numPr>
          <w:ilvl w:val="0"/>
          <w:numId w:val="3"/>
        </w:numPr>
      </w:pPr>
      <w:r>
        <w:t xml:space="preserve">Pamiętaj, że po zrealizowaniu tego żądania musi zostać tzw. ślad w dokumentacji (tradycyjnej lub on-line) naszego przedsiębiorstwa. </w:t>
      </w:r>
      <w:r w:rsidR="0086195C">
        <w:t xml:space="preserve">W szczególności  zgłoszenie </w:t>
      </w:r>
      <w:r w:rsidR="0086195C">
        <w:lastRenderedPageBreak/>
        <w:t>żądania i podjęte w jego następstwie działania powinny zostać odnotowane w ewidencji realizacji praw stanowiącej załącznik nr 5.</w:t>
      </w:r>
    </w:p>
    <w:p w14:paraId="771B6E05" w14:textId="757781CD" w:rsidR="007022A0" w:rsidRDefault="007022A0" w:rsidP="00103B33">
      <w:pPr>
        <w:pStyle w:val="Akapitzlist"/>
        <w:numPr>
          <w:ilvl w:val="0"/>
          <w:numId w:val="3"/>
        </w:numPr>
      </w:pPr>
      <w:r>
        <w:t>Jeżeli dane osobowe tej osoby zostały upublicznione innym przedsiębiorstwom o czym wiemy lub powinniśmy wiedzieć, a musimy je usunąć z naszych baz, to poinformuj też tych przedsiębiorców żądaniu, które otrzymaliśmy. Pamiętaj jednak, że informujemy tylko tych przedsiębiorców, o których wiemy, że mogą wykorzystywać dane osobowe tej osoby</w:t>
      </w:r>
      <w:r w:rsidR="00C833AA">
        <w:t xml:space="preserve"> i nie jest to dla nas zbyt trudne i kosztowne. </w:t>
      </w:r>
    </w:p>
    <w:sectPr w:rsidR="007022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A5629" w14:textId="77777777" w:rsidR="00DB4FF0" w:rsidRDefault="0086195C">
      <w:pPr>
        <w:spacing w:after="0" w:line="240" w:lineRule="auto"/>
      </w:pPr>
      <w:r>
        <w:separator/>
      </w:r>
    </w:p>
  </w:endnote>
  <w:endnote w:type="continuationSeparator" w:id="0">
    <w:p w14:paraId="3D5481F6" w14:textId="77777777" w:rsidR="00DB4FF0" w:rsidRDefault="0086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EC215" w14:textId="77777777" w:rsidR="00DB4FF0" w:rsidRDefault="0086195C">
      <w:pPr>
        <w:spacing w:after="0" w:line="240" w:lineRule="auto"/>
      </w:pPr>
      <w:r>
        <w:separator/>
      </w:r>
    </w:p>
  </w:footnote>
  <w:footnote w:type="continuationSeparator" w:id="0">
    <w:p w14:paraId="116C615D" w14:textId="77777777" w:rsidR="00DB4FF0" w:rsidRDefault="0086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49731" w14:textId="77777777" w:rsidR="001B4EF5" w:rsidRDefault="00A073BE" w:rsidP="001B4EF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A08"/>
    <w:multiLevelType w:val="hybridMultilevel"/>
    <w:tmpl w:val="1F56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4440C"/>
    <w:multiLevelType w:val="hybridMultilevel"/>
    <w:tmpl w:val="3A7E40FE"/>
    <w:lvl w:ilvl="0" w:tplc="CE902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4B3A08"/>
    <w:multiLevelType w:val="hybridMultilevel"/>
    <w:tmpl w:val="10BC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5A"/>
    <w:rsid w:val="00103B33"/>
    <w:rsid w:val="00193DF3"/>
    <w:rsid w:val="007022A0"/>
    <w:rsid w:val="0086195C"/>
    <w:rsid w:val="00A073BE"/>
    <w:rsid w:val="00AD5B5A"/>
    <w:rsid w:val="00B25E19"/>
    <w:rsid w:val="00BB4D34"/>
    <w:rsid w:val="00C65F8A"/>
    <w:rsid w:val="00C833AA"/>
    <w:rsid w:val="00DB4FF0"/>
    <w:rsid w:val="00D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719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B33"/>
    <w:pPr>
      <w:spacing w:after="200" w:line="360" w:lineRule="auto"/>
      <w:jc w:val="both"/>
    </w:pPr>
    <w:rPr>
      <w:rFonts w:ascii="Georgia" w:eastAsia="Calibri" w:hAnsi="Georgia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sid w:val="00103B33"/>
    <w:rPr>
      <w:b/>
      <w:bCs/>
    </w:rPr>
  </w:style>
  <w:style w:type="paragraph" w:styleId="Akapitzlist">
    <w:name w:val="List Paragraph"/>
    <w:basedOn w:val="Normalny"/>
    <w:uiPriority w:val="34"/>
    <w:qFormat/>
    <w:rsid w:val="00103B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B33"/>
    <w:rPr>
      <w:rFonts w:ascii="Georgia" w:eastAsia="Calibri" w:hAnsi="Georgia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B33"/>
    <w:pPr>
      <w:spacing w:after="200" w:line="360" w:lineRule="auto"/>
      <w:jc w:val="both"/>
    </w:pPr>
    <w:rPr>
      <w:rFonts w:ascii="Georgia" w:eastAsia="Calibri" w:hAnsi="Georgia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sid w:val="00103B33"/>
    <w:rPr>
      <w:b/>
      <w:bCs/>
    </w:rPr>
  </w:style>
  <w:style w:type="paragraph" w:styleId="Akapitzlist">
    <w:name w:val="List Paragraph"/>
    <w:basedOn w:val="Normalny"/>
    <w:uiPriority w:val="34"/>
    <w:qFormat/>
    <w:rsid w:val="00103B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B33"/>
    <w:rPr>
      <w:rFonts w:ascii="Georgia" w:eastAsia="Calibri" w:hAnsi="Georg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421</Words>
  <Characters>2532</Characters>
  <Application>Microsoft Macintosh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Biały</dc:creator>
  <cp:keywords/>
  <dc:description/>
  <cp:lastModifiedBy>Kancelaria TŚ</cp:lastModifiedBy>
  <cp:revision>10</cp:revision>
  <dcterms:created xsi:type="dcterms:W3CDTF">2018-05-14T22:03:00Z</dcterms:created>
  <dcterms:modified xsi:type="dcterms:W3CDTF">2018-08-02T08:11:00Z</dcterms:modified>
</cp:coreProperties>
</file>